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F8" w:rsidRDefault="00013A41" w:rsidP="00013A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[COMPANY NAME]</w:t>
      </w:r>
    </w:p>
    <w:p w:rsidR="00013A41" w:rsidRDefault="00013A41" w:rsidP="00013A41">
      <w:pPr>
        <w:jc w:val="center"/>
        <w:rPr>
          <w:sz w:val="28"/>
          <w:szCs w:val="28"/>
        </w:rPr>
      </w:pPr>
    </w:p>
    <w:p w:rsidR="00013A41" w:rsidRDefault="00013A41" w:rsidP="00013A41">
      <w:pPr>
        <w:jc w:val="center"/>
        <w:rPr>
          <w:sz w:val="28"/>
          <w:szCs w:val="28"/>
        </w:rPr>
      </w:pPr>
      <w:r>
        <w:rPr>
          <w:sz w:val="28"/>
          <w:szCs w:val="28"/>
        </w:rPr>
        <w:t>DE MINIMIS EXPENSING POLICY</w:t>
      </w:r>
    </w:p>
    <w:p w:rsidR="00013A41" w:rsidRDefault="00013A41" w:rsidP="00013A41">
      <w:pPr>
        <w:jc w:val="center"/>
        <w:rPr>
          <w:sz w:val="28"/>
          <w:szCs w:val="28"/>
        </w:rPr>
      </w:pPr>
    </w:p>
    <w:p w:rsidR="00013A41" w:rsidRDefault="00013A41" w:rsidP="00013A41">
      <w:pPr>
        <w:jc w:val="center"/>
        <w:rPr>
          <w:sz w:val="28"/>
          <w:szCs w:val="28"/>
        </w:rPr>
      </w:pPr>
      <w:r>
        <w:rPr>
          <w:sz w:val="28"/>
          <w:szCs w:val="28"/>
        </w:rPr>
        <w:t>Adopted:  [Date of Adoption]</w:t>
      </w:r>
    </w:p>
    <w:p w:rsidR="00013A41" w:rsidRDefault="00013A41" w:rsidP="00013A41">
      <w:pPr>
        <w:jc w:val="center"/>
        <w:rPr>
          <w:sz w:val="28"/>
          <w:szCs w:val="28"/>
        </w:rPr>
      </w:pPr>
    </w:p>
    <w:p w:rsidR="00013A41" w:rsidRDefault="00013A41" w:rsidP="00013A41">
      <w:pPr>
        <w:jc w:val="center"/>
        <w:rPr>
          <w:sz w:val="28"/>
          <w:szCs w:val="28"/>
        </w:rPr>
      </w:pPr>
    </w:p>
    <w:p w:rsidR="00013A41" w:rsidRDefault="00013A41" w:rsidP="00013A41">
      <w:pPr>
        <w:rPr>
          <w:sz w:val="24"/>
          <w:szCs w:val="24"/>
        </w:rPr>
      </w:pPr>
      <w:r w:rsidRPr="00013A41">
        <w:rPr>
          <w:sz w:val="24"/>
          <w:szCs w:val="24"/>
        </w:rPr>
        <w:t>The guidelines se</w:t>
      </w:r>
      <w:r>
        <w:rPr>
          <w:sz w:val="24"/>
          <w:szCs w:val="24"/>
        </w:rPr>
        <w:t xml:space="preserve">t forth in this policy are the Company's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expensing policy, and is a necessary requirement for compliance with the Internal Revenue Code and tangible property regulations promulgated thereunder.  The guidelines are intended to be used for the Company's non-tax and tax reporting.</w:t>
      </w:r>
    </w:p>
    <w:p w:rsidR="00013A41" w:rsidRDefault="00013A41" w:rsidP="00013A41">
      <w:pPr>
        <w:rPr>
          <w:sz w:val="24"/>
          <w:szCs w:val="24"/>
        </w:rPr>
      </w:pPr>
    </w:p>
    <w:p w:rsidR="00013A41" w:rsidRDefault="00013A41" w:rsidP="00013A41">
      <w:pPr>
        <w:rPr>
          <w:sz w:val="24"/>
          <w:szCs w:val="24"/>
        </w:rPr>
      </w:pPr>
      <w:r>
        <w:rPr>
          <w:sz w:val="24"/>
          <w:szCs w:val="24"/>
        </w:rPr>
        <w:t>[COMPANY NAME] will not capitalize amounts meeting the following criteria:</w:t>
      </w:r>
    </w:p>
    <w:p w:rsidR="00013A41" w:rsidRDefault="00013A41" w:rsidP="00013A41">
      <w:pPr>
        <w:rPr>
          <w:sz w:val="24"/>
          <w:szCs w:val="24"/>
        </w:rPr>
      </w:pPr>
    </w:p>
    <w:p w:rsidR="00013A41" w:rsidRDefault="00013A41" w:rsidP="00013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Amounts paid to acquire, produce or improve tangible property </w:t>
      </w:r>
      <w:r w:rsidR="00A05380">
        <w:rPr>
          <w:sz w:val="24"/>
          <w:szCs w:val="24"/>
        </w:rPr>
        <w:t>not exceeding $500.00 [</w:t>
      </w:r>
      <w:r w:rsidR="00E60A98">
        <w:rPr>
          <w:sz w:val="24"/>
          <w:szCs w:val="24"/>
        </w:rPr>
        <w:t xml:space="preserve">companies with audited financial statements should </w:t>
      </w:r>
      <w:r w:rsidR="00A05380">
        <w:rPr>
          <w:sz w:val="24"/>
          <w:szCs w:val="24"/>
        </w:rPr>
        <w:t>replace with $5,000</w:t>
      </w:r>
      <w:r w:rsidR="00E60A98">
        <w:rPr>
          <w:sz w:val="24"/>
          <w:szCs w:val="24"/>
        </w:rPr>
        <w:t>]</w:t>
      </w:r>
      <w:r w:rsidR="00A05380">
        <w:rPr>
          <w:sz w:val="24"/>
          <w:szCs w:val="24"/>
        </w:rPr>
        <w:t xml:space="preserve"> </w:t>
      </w:r>
      <w:r w:rsidR="00E60A98">
        <w:rPr>
          <w:sz w:val="24"/>
          <w:szCs w:val="24"/>
        </w:rPr>
        <w:t xml:space="preserve">are charged to the appropriate de </w:t>
      </w:r>
      <w:proofErr w:type="spellStart"/>
      <w:r w:rsidR="00E60A98">
        <w:rPr>
          <w:sz w:val="24"/>
          <w:szCs w:val="24"/>
        </w:rPr>
        <w:t>minimis</w:t>
      </w:r>
      <w:proofErr w:type="spellEnd"/>
      <w:r w:rsidR="00E60A98">
        <w:rPr>
          <w:sz w:val="24"/>
          <w:szCs w:val="24"/>
        </w:rPr>
        <w:t xml:space="preserve"> expense accounts.  This threshold is applied at the per item or per invoice level and must include any allocable expenses on the invoice, e.g., taxes, </w:t>
      </w:r>
      <w:r w:rsidR="009E560A">
        <w:rPr>
          <w:sz w:val="24"/>
          <w:szCs w:val="24"/>
        </w:rPr>
        <w:t>transportation</w:t>
      </w:r>
      <w:r w:rsidR="00E60A98">
        <w:rPr>
          <w:sz w:val="24"/>
          <w:szCs w:val="24"/>
        </w:rPr>
        <w:t>, etc., or</w:t>
      </w:r>
    </w:p>
    <w:p w:rsidR="00E60A98" w:rsidRDefault="00E60A98" w:rsidP="00E60A98">
      <w:pPr>
        <w:pStyle w:val="ListParagraph"/>
        <w:rPr>
          <w:sz w:val="24"/>
          <w:szCs w:val="24"/>
        </w:rPr>
      </w:pPr>
    </w:p>
    <w:p w:rsidR="00E60A98" w:rsidRDefault="00E60A98" w:rsidP="00013A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Amounts paid to acquire, produce or improve tangible property with an economic useful life of 12 months or less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charged to the appropriate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expense accounts.</w:t>
      </w:r>
    </w:p>
    <w:p w:rsidR="00E60A98" w:rsidRPr="00E60A98" w:rsidRDefault="00E60A98" w:rsidP="00E60A98">
      <w:pPr>
        <w:pStyle w:val="ListParagraph"/>
        <w:rPr>
          <w:sz w:val="24"/>
          <w:szCs w:val="24"/>
        </w:rPr>
      </w:pPr>
    </w:p>
    <w:p w:rsidR="00E60A98" w:rsidRPr="00E60A98" w:rsidRDefault="00E60A98" w:rsidP="00E60A98">
      <w:pPr>
        <w:rPr>
          <w:sz w:val="24"/>
          <w:szCs w:val="24"/>
        </w:rPr>
      </w:pPr>
      <w:r>
        <w:rPr>
          <w:sz w:val="24"/>
          <w:szCs w:val="24"/>
        </w:rPr>
        <w:t xml:space="preserve">This policy does not apply to land, inventory, or certain </w:t>
      </w:r>
      <w:proofErr w:type="spellStart"/>
      <w:r>
        <w:rPr>
          <w:sz w:val="24"/>
          <w:szCs w:val="24"/>
        </w:rPr>
        <w:t>rotable</w:t>
      </w:r>
      <w:proofErr w:type="spellEnd"/>
      <w:r>
        <w:rPr>
          <w:sz w:val="24"/>
          <w:szCs w:val="24"/>
        </w:rPr>
        <w:t>, temporary, emergency spare parts.</w:t>
      </w:r>
    </w:p>
    <w:p w:rsidR="00013A41" w:rsidRPr="00013A41" w:rsidRDefault="00013A41" w:rsidP="00013A41">
      <w:pPr>
        <w:rPr>
          <w:sz w:val="24"/>
          <w:szCs w:val="24"/>
        </w:rPr>
      </w:pPr>
    </w:p>
    <w:sectPr w:rsidR="00013A41" w:rsidRPr="0001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3E0"/>
    <w:multiLevelType w:val="hybridMultilevel"/>
    <w:tmpl w:val="8CD4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1"/>
    <w:rsid w:val="00013A41"/>
    <w:rsid w:val="00083F66"/>
    <w:rsid w:val="000C66C5"/>
    <w:rsid w:val="000E0FFE"/>
    <w:rsid w:val="000E1471"/>
    <w:rsid w:val="000E70D4"/>
    <w:rsid w:val="001073E1"/>
    <w:rsid w:val="00120B22"/>
    <w:rsid w:val="00130342"/>
    <w:rsid w:val="00144821"/>
    <w:rsid w:val="00165294"/>
    <w:rsid w:val="00167CAD"/>
    <w:rsid w:val="001865E7"/>
    <w:rsid w:val="001875A7"/>
    <w:rsid w:val="001A22E6"/>
    <w:rsid w:val="001D545F"/>
    <w:rsid w:val="001E52E9"/>
    <w:rsid w:val="00207EA3"/>
    <w:rsid w:val="00211DAE"/>
    <w:rsid w:val="00224070"/>
    <w:rsid w:val="00243118"/>
    <w:rsid w:val="00250BBE"/>
    <w:rsid w:val="00264D40"/>
    <w:rsid w:val="00281ACF"/>
    <w:rsid w:val="002A1668"/>
    <w:rsid w:val="002D37CC"/>
    <w:rsid w:val="002D3AC9"/>
    <w:rsid w:val="003026A2"/>
    <w:rsid w:val="003718B5"/>
    <w:rsid w:val="003A453C"/>
    <w:rsid w:val="003F6CBB"/>
    <w:rsid w:val="00416240"/>
    <w:rsid w:val="004312C8"/>
    <w:rsid w:val="0043418E"/>
    <w:rsid w:val="004476B8"/>
    <w:rsid w:val="00462853"/>
    <w:rsid w:val="00496ADB"/>
    <w:rsid w:val="004D0155"/>
    <w:rsid w:val="004E4875"/>
    <w:rsid w:val="00504951"/>
    <w:rsid w:val="00524B1C"/>
    <w:rsid w:val="00554BC0"/>
    <w:rsid w:val="00573EC8"/>
    <w:rsid w:val="00577452"/>
    <w:rsid w:val="00583EB8"/>
    <w:rsid w:val="005A0787"/>
    <w:rsid w:val="005B01F8"/>
    <w:rsid w:val="005B399E"/>
    <w:rsid w:val="005C641C"/>
    <w:rsid w:val="005E79AA"/>
    <w:rsid w:val="0061112B"/>
    <w:rsid w:val="00630531"/>
    <w:rsid w:val="00651F61"/>
    <w:rsid w:val="00671F21"/>
    <w:rsid w:val="00686A24"/>
    <w:rsid w:val="00694F40"/>
    <w:rsid w:val="006C2912"/>
    <w:rsid w:val="006E4CBA"/>
    <w:rsid w:val="006E6CC3"/>
    <w:rsid w:val="006E717C"/>
    <w:rsid w:val="00730578"/>
    <w:rsid w:val="00743109"/>
    <w:rsid w:val="00744454"/>
    <w:rsid w:val="00773077"/>
    <w:rsid w:val="007A17AF"/>
    <w:rsid w:val="00814867"/>
    <w:rsid w:val="0082044B"/>
    <w:rsid w:val="00826BCE"/>
    <w:rsid w:val="00830565"/>
    <w:rsid w:val="00831C75"/>
    <w:rsid w:val="00833791"/>
    <w:rsid w:val="0086263D"/>
    <w:rsid w:val="00875B79"/>
    <w:rsid w:val="00877935"/>
    <w:rsid w:val="008A27DC"/>
    <w:rsid w:val="008B6D95"/>
    <w:rsid w:val="008C6BA0"/>
    <w:rsid w:val="008E4B82"/>
    <w:rsid w:val="008F2339"/>
    <w:rsid w:val="0091004E"/>
    <w:rsid w:val="009168DE"/>
    <w:rsid w:val="009169DF"/>
    <w:rsid w:val="00916A2F"/>
    <w:rsid w:val="009173D1"/>
    <w:rsid w:val="00933D63"/>
    <w:rsid w:val="00935331"/>
    <w:rsid w:val="00940710"/>
    <w:rsid w:val="00955816"/>
    <w:rsid w:val="00965346"/>
    <w:rsid w:val="009765CF"/>
    <w:rsid w:val="0098359A"/>
    <w:rsid w:val="009A3D1D"/>
    <w:rsid w:val="009C659C"/>
    <w:rsid w:val="009D0CB8"/>
    <w:rsid w:val="009E560A"/>
    <w:rsid w:val="00A05380"/>
    <w:rsid w:val="00A129A2"/>
    <w:rsid w:val="00A21297"/>
    <w:rsid w:val="00A30D83"/>
    <w:rsid w:val="00A61730"/>
    <w:rsid w:val="00A74120"/>
    <w:rsid w:val="00A74903"/>
    <w:rsid w:val="00A85B1B"/>
    <w:rsid w:val="00AB1B32"/>
    <w:rsid w:val="00AB3F1E"/>
    <w:rsid w:val="00AB7827"/>
    <w:rsid w:val="00AD2264"/>
    <w:rsid w:val="00AD559C"/>
    <w:rsid w:val="00B0556C"/>
    <w:rsid w:val="00B425B3"/>
    <w:rsid w:val="00B7485F"/>
    <w:rsid w:val="00BD0895"/>
    <w:rsid w:val="00BE5045"/>
    <w:rsid w:val="00BF3B3E"/>
    <w:rsid w:val="00C23D8D"/>
    <w:rsid w:val="00C33D5E"/>
    <w:rsid w:val="00C478DC"/>
    <w:rsid w:val="00C7198B"/>
    <w:rsid w:val="00C80DD5"/>
    <w:rsid w:val="00C963AD"/>
    <w:rsid w:val="00CB4619"/>
    <w:rsid w:val="00D36670"/>
    <w:rsid w:val="00D53F43"/>
    <w:rsid w:val="00D54C53"/>
    <w:rsid w:val="00D83A1C"/>
    <w:rsid w:val="00DA3C76"/>
    <w:rsid w:val="00DD026A"/>
    <w:rsid w:val="00DD124E"/>
    <w:rsid w:val="00DD5049"/>
    <w:rsid w:val="00DE2312"/>
    <w:rsid w:val="00DE486E"/>
    <w:rsid w:val="00DF66A0"/>
    <w:rsid w:val="00E16660"/>
    <w:rsid w:val="00E340F8"/>
    <w:rsid w:val="00E60A98"/>
    <w:rsid w:val="00E8605D"/>
    <w:rsid w:val="00E87015"/>
    <w:rsid w:val="00E9395E"/>
    <w:rsid w:val="00EC35E2"/>
    <w:rsid w:val="00EF2A33"/>
    <w:rsid w:val="00EF3741"/>
    <w:rsid w:val="00F04E2D"/>
    <w:rsid w:val="00F42DF4"/>
    <w:rsid w:val="00F908B4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1B"/>
    <w:pPr>
      <w:spacing w:after="0" w:line="300" w:lineRule="atLeast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75A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01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1B"/>
    <w:pPr>
      <w:spacing w:after="0" w:line="300" w:lineRule="atLeast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75A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01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Belfint, Lyons &amp; Shuman, P.A.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ldiebold</dc:creator>
  <cp:lastModifiedBy>JJones</cp:lastModifiedBy>
  <cp:revision>2</cp:revision>
  <dcterms:created xsi:type="dcterms:W3CDTF">2013-12-10T16:41:00Z</dcterms:created>
  <dcterms:modified xsi:type="dcterms:W3CDTF">2013-12-10T16:41:00Z</dcterms:modified>
</cp:coreProperties>
</file>